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page" w:tblpX="1351" w:tblpY="-917"/>
        <w:tblW w:w="13345" w:type="dxa"/>
        <w:tblLook w:val="04A0" w:firstRow="1" w:lastRow="0" w:firstColumn="1" w:lastColumn="0" w:noHBand="0" w:noVBand="1"/>
      </w:tblPr>
      <w:tblGrid>
        <w:gridCol w:w="975"/>
        <w:gridCol w:w="2149"/>
        <w:gridCol w:w="1190"/>
        <w:gridCol w:w="977"/>
        <w:gridCol w:w="8054"/>
      </w:tblGrid>
      <w:tr w:rsidR="009A4AA2" w:rsidRPr="009A4AA2" w:rsidTr="009A4AA2">
        <w:trPr>
          <w:trHeight w:val="1351"/>
        </w:trPr>
        <w:tc>
          <w:tcPr>
            <w:tcW w:w="13345" w:type="dxa"/>
            <w:gridSpan w:val="5"/>
            <w:hideMark/>
          </w:tcPr>
          <w:p w:rsidR="009A4AA2" w:rsidRPr="009A4AA2" w:rsidRDefault="009A4AA2" w:rsidP="009A4AA2">
            <w:pPr>
              <w:jc w:val="center"/>
              <w:rPr>
                <w:rFonts w:ascii="Times New Roman" w:eastAsia="Times New Roman" w:hAnsi="Times New Roman" w:cs="Times New Roman"/>
                <w:b/>
                <w:bCs/>
                <w:color w:val="000000"/>
                <w:sz w:val="36"/>
                <w:szCs w:val="40"/>
              </w:rPr>
            </w:pPr>
            <w:r w:rsidRPr="009A4AA2">
              <w:rPr>
                <w:rFonts w:ascii="Times New Roman" w:eastAsia="Times New Roman" w:hAnsi="Times New Roman" w:cs="Times New Roman"/>
                <w:b/>
                <w:bCs/>
                <w:color w:val="000000"/>
                <w:sz w:val="48"/>
                <w:szCs w:val="52"/>
              </w:rPr>
              <w:t>FQAC, Faculty of Business Studies</w:t>
            </w:r>
            <w:r w:rsidRPr="009A4AA2">
              <w:rPr>
                <w:rFonts w:ascii="Times New Roman" w:eastAsia="Times New Roman" w:hAnsi="Times New Roman" w:cs="Times New Roman"/>
                <w:b/>
                <w:bCs/>
                <w:color w:val="000000"/>
                <w:sz w:val="48"/>
                <w:szCs w:val="52"/>
              </w:rPr>
              <w:br/>
              <w:t xml:space="preserve">Performance Score card: January-March 2025    </w:t>
            </w:r>
            <w:r w:rsidRPr="009A4AA2">
              <w:rPr>
                <w:rFonts w:ascii="Times New Roman" w:eastAsia="Times New Roman" w:hAnsi="Times New Roman" w:cs="Times New Roman"/>
                <w:b/>
                <w:bCs/>
                <w:color w:val="000000"/>
                <w:sz w:val="36"/>
                <w:szCs w:val="40"/>
              </w:rPr>
              <w:t xml:space="preserve">                           </w:t>
            </w:r>
          </w:p>
        </w:tc>
      </w:tr>
      <w:tr w:rsidR="009A4AA2" w:rsidRPr="009A4AA2" w:rsidTr="009A4AA2">
        <w:trPr>
          <w:trHeight w:val="452"/>
        </w:trPr>
        <w:tc>
          <w:tcPr>
            <w:tcW w:w="13345" w:type="dxa"/>
            <w:gridSpan w:val="5"/>
            <w:noWrap/>
            <w:hideMark/>
          </w:tcPr>
          <w:p w:rsidR="009A4AA2" w:rsidRPr="009A4AA2" w:rsidRDefault="009A4AA2" w:rsidP="009A4AA2">
            <w:pPr>
              <w:jc w:val="center"/>
              <w:rPr>
                <w:rFonts w:ascii="Times New Roman" w:eastAsia="Times New Roman" w:hAnsi="Times New Roman" w:cs="Times New Roman"/>
                <w:b/>
                <w:bCs/>
                <w:color w:val="000000"/>
                <w:sz w:val="32"/>
                <w:szCs w:val="36"/>
              </w:rPr>
            </w:pPr>
            <w:r w:rsidRPr="009A4AA2">
              <w:rPr>
                <w:rFonts w:ascii="Times New Roman" w:eastAsia="Times New Roman" w:hAnsi="Times New Roman" w:cs="Times New Roman"/>
                <w:b/>
                <w:bCs/>
                <w:color w:val="000000"/>
                <w:sz w:val="28"/>
                <w:szCs w:val="36"/>
              </w:rPr>
              <w:t>Section 1: Establishment of FQAC (10%)</w:t>
            </w:r>
          </w:p>
        </w:tc>
      </w:tr>
      <w:tr w:rsidR="009A4AA2" w:rsidRPr="009A4AA2" w:rsidTr="009A4AA2">
        <w:trPr>
          <w:trHeight w:val="754"/>
        </w:trPr>
        <w:tc>
          <w:tcPr>
            <w:tcW w:w="975" w:type="dxa"/>
            <w:noWrap/>
            <w:hideMark/>
          </w:tcPr>
          <w:p w:rsidR="009A4AA2" w:rsidRPr="009A4AA2" w:rsidRDefault="009A4AA2" w:rsidP="009A4AA2">
            <w:pPr>
              <w:rPr>
                <w:rFonts w:ascii="Times New Roman" w:eastAsia="Times New Roman" w:hAnsi="Times New Roman" w:cs="Times New Roman"/>
                <w:color w:val="000000"/>
                <w:szCs w:val="24"/>
              </w:rPr>
            </w:pPr>
            <w:r w:rsidRPr="009A4AA2">
              <w:rPr>
                <w:rFonts w:ascii="Times New Roman" w:eastAsia="Times New Roman" w:hAnsi="Times New Roman" w:cs="Times New Roman"/>
                <w:color w:val="000000"/>
                <w:szCs w:val="24"/>
              </w:rPr>
              <w:t> </w:t>
            </w:r>
          </w:p>
        </w:tc>
        <w:tc>
          <w:tcPr>
            <w:tcW w:w="2149" w:type="dxa"/>
            <w:hideMark/>
          </w:tcPr>
          <w:p w:rsidR="009A4AA2" w:rsidRPr="009A4AA2" w:rsidRDefault="009A4AA2" w:rsidP="009A4AA2">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Criteria</w:t>
            </w:r>
          </w:p>
        </w:tc>
        <w:tc>
          <w:tcPr>
            <w:tcW w:w="1190" w:type="dxa"/>
            <w:hideMark/>
          </w:tcPr>
          <w:p w:rsidR="009A4AA2" w:rsidRPr="009A4AA2" w:rsidRDefault="009A4AA2" w:rsidP="009A4AA2">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Allocated Score</w:t>
            </w:r>
          </w:p>
        </w:tc>
        <w:tc>
          <w:tcPr>
            <w:tcW w:w="977" w:type="dxa"/>
            <w:hideMark/>
          </w:tcPr>
          <w:p w:rsidR="009A4AA2" w:rsidRPr="009A4AA2" w:rsidRDefault="009A4AA2" w:rsidP="009A4AA2">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Score Earned</w:t>
            </w:r>
          </w:p>
        </w:tc>
        <w:tc>
          <w:tcPr>
            <w:tcW w:w="8054" w:type="dxa"/>
            <w:hideMark/>
          </w:tcPr>
          <w:p w:rsidR="009A4AA2" w:rsidRPr="009A4AA2" w:rsidRDefault="009A4AA2" w:rsidP="009A4AA2">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Description</w:t>
            </w:r>
          </w:p>
        </w:tc>
      </w:tr>
      <w:tr w:rsidR="009A4AA2" w:rsidRPr="009A4AA2" w:rsidTr="009A4AA2">
        <w:trPr>
          <w:trHeight w:val="317"/>
        </w:trPr>
        <w:tc>
          <w:tcPr>
            <w:tcW w:w="975"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149" w:type="dxa"/>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Appointment of a Coordinator for the FQAC</w:t>
            </w:r>
          </w:p>
        </w:tc>
        <w:tc>
          <w:tcPr>
            <w:tcW w:w="1190"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9A4AA2" w:rsidRPr="009A4AA2" w:rsidRDefault="009A4AA2" w:rsidP="009A4AA2">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Duties and responsibilities, Appointed by the Vice-Chancellor, Duration = 3 years</w:t>
            </w:r>
          </w:p>
        </w:tc>
      </w:tr>
      <w:tr w:rsidR="009A4AA2" w:rsidRPr="009A4AA2" w:rsidTr="009A4AA2">
        <w:trPr>
          <w:trHeight w:val="3306"/>
        </w:trPr>
        <w:tc>
          <w:tcPr>
            <w:tcW w:w="975" w:type="dxa"/>
            <w:noWrap/>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149" w:type="dxa"/>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Appointment of other members of FQAC</w:t>
            </w:r>
          </w:p>
        </w:tc>
        <w:tc>
          <w:tcPr>
            <w:tcW w:w="1190" w:type="dxa"/>
            <w:noWrap/>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noWrap/>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9A4AA2" w:rsidRPr="009A4AA2" w:rsidRDefault="009A4AA2" w:rsidP="009A4AA2">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Composition made according to the Internal Quality Enhancement System and Framework:</w:t>
            </w:r>
            <w:r w:rsidRPr="009A4AA2">
              <w:rPr>
                <w:rFonts w:ascii="Times New Roman" w:eastAsia="Times New Roman" w:hAnsi="Times New Roman" w:cs="Times New Roman"/>
                <w:color w:val="000000"/>
              </w:rPr>
              <w:br/>
              <w:t xml:space="preserve">Dean/FBS, coordinator/ FQAC, Heads of the departments, All professors of the faculty, Academic Coordinator – Banking and Insurance, Director – SDC, University of Vavuniya , Chairperson – Curriculum Development Committee , Chairperson – Research and Development Committee, Coordinator – Industry and Community Interaction Cell (ICIC)/UBL, Coordinator – Well-being Cell / FBS, Coordinator – Career Guidance Cell / FBS, Web Committee Coordinator – FBS, Coordinator - Information Technology Services Unit – FBS, Coordinator – Faculty Alumni, Student Counsellors, Coordinators – Training and Placement Cells, Senior Treasurers / Advisors – Student Clubs, Senior Treasurer / Faculty Students Union, Assistant Registrar – FBS, Non-academic Staff – one representative , Students Representatives – One student from each discipline (3rd /4th year), Management Trainee </w:t>
            </w:r>
          </w:p>
        </w:tc>
      </w:tr>
      <w:tr w:rsidR="009A4AA2" w:rsidRPr="009A4AA2" w:rsidTr="009A4AA2">
        <w:trPr>
          <w:trHeight w:val="634"/>
        </w:trPr>
        <w:tc>
          <w:tcPr>
            <w:tcW w:w="975"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149" w:type="dxa"/>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permanent office space for FQAC</w:t>
            </w:r>
          </w:p>
        </w:tc>
        <w:tc>
          <w:tcPr>
            <w:tcW w:w="1190"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9A4AA2" w:rsidRPr="009A4AA2" w:rsidRDefault="009A4AA2" w:rsidP="009A4AA2">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Office space is available at FBS Deans Office building, Space is allowed for use to have a small group discussion if other venues are not available.</w:t>
            </w:r>
          </w:p>
        </w:tc>
      </w:tr>
      <w:tr w:rsidR="009A4AA2" w:rsidRPr="009A4AA2" w:rsidTr="009A4AA2">
        <w:trPr>
          <w:trHeight w:val="634"/>
        </w:trPr>
        <w:tc>
          <w:tcPr>
            <w:tcW w:w="975"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2149" w:type="dxa"/>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furniture for FQAC</w:t>
            </w:r>
          </w:p>
        </w:tc>
        <w:tc>
          <w:tcPr>
            <w:tcW w:w="1190"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0.5</w:t>
            </w:r>
          </w:p>
        </w:tc>
        <w:tc>
          <w:tcPr>
            <w:tcW w:w="8054" w:type="dxa"/>
            <w:hideMark/>
          </w:tcPr>
          <w:p w:rsidR="009A4AA2" w:rsidRPr="009A4AA2" w:rsidRDefault="009A4AA2" w:rsidP="009A4AA2">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Wooden Table 1, Computer Chair 1, Computer Table 1, 03 File Rack without cupboard, 02 File Rack with cupboard, 02 Filing Cupboard, 01 Steel Cupboard </w:t>
            </w:r>
          </w:p>
        </w:tc>
      </w:tr>
      <w:tr w:rsidR="009A4AA2" w:rsidRPr="009A4AA2" w:rsidTr="009A4AA2">
        <w:trPr>
          <w:trHeight w:val="317"/>
        </w:trPr>
        <w:tc>
          <w:tcPr>
            <w:tcW w:w="975" w:type="dxa"/>
            <w:noWrap/>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149" w:type="dxa"/>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office equipment</w:t>
            </w:r>
          </w:p>
        </w:tc>
        <w:tc>
          <w:tcPr>
            <w:tcW w:w="1190" w:type="dxa"/>
            <w:noWrap/>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noWrap/>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0.25</w:t>
            </w:r>
          </w:p>
        </w:tc>
        <w:tc>
          <w:tcPr>
            <w:tcW w:w="8054" w:type="dxa"/>
            <w:hideMark/>
          </w:tcPr>
          <w:p w:rsidR="009A4AA2" w:rsidRPr="009A4AA2" w:rsidRDefault="009A4AA2" w:rsidP="009A4AA2">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Desktop computer = 1 </w:t>
            </w:r>
          </w:p>
        </w:tc>
      </w:tr>
      <w:tr w:rsidR="009A4AA2" w:rsidRPr="009A4AA2" w:rsidTr="009A4AA2">
        <w:trPr>
          <w:trHeight w:val="317"/>
        </w:trPr>
        <w:tc>
          <w:tcPr>
            <w:tcW w:w="975" w:type="dxa"/>
            <w:noWrap/>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6</w:t>
            </w:r>
          </w:p>
        </w:tc>
        <w:tc>
          <w:tcPr>
            <w:tcW w:w="2149" w:type="dxa"/>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internet and telephone facilities</w:t>
            </w:r>
          </w:p>
        </w:tc>
        <w:tc>
          <w:tcPr>
            <w:tcW w:w="1190"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w:t>
            </w:r>
          </w:p>
        </w:tc>
        <w:tc>
          <w:tcPr>
            <w:tcW w:w="8054" w:type="dxa"/>
            <w:hideMark/>
          </w:tcPr>
          <w:p w:rsidR="009A4AA2" w:rsidRPr="009A4AA2" w:rsidRDefault="009A4AA2" w:rsidP="009A4AA2">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No Telephone Facilities available </w:t>
            </w:r>
          </w:p>
        </w:tc>
      </w:tr>
      <w:tr w:rsidR="009A4AA2" w:rsidRPr="009A4AA2" w:rsidTr="009A4AA2">
        <w:trPr>
          <w:trHeight w:val="317"/>
        </w:trPr>
        <w:tc>
          <w:tcPr>
            <w:tcW w:w="975" w:type="dxa"/>
            <w:noWrap/>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7</w:t>
            </w:r>
          </w:p>
        </w:tc>
        <w:tc>
          <w:tcPr>
            <w:tcW w:w="2149" w:type="dxa"/>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permanent support staff</w:t>
            </w:r>
          </w:p>
        </w:tc>
        <w:tc>
          <w:tcPr>
            <w:tcW w:w="1190"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0.25</w:t>
            </w:r>
          </w:p>
        </w:tc>
        <w:tc>
          <w:tcPr>
            <w:tcW w:w="8054" w:type="dxa"/>
            <w:hideMark/>
          </w:tcPr>
          <w:p w:rsidR="009A4AA2" w:rsidRPr="009A4AA2" w:rsidRDefault="009A4AA2" w:rsidP="009A4AA2">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 Management Assistant (Trainee) = 1</w:t>
            </w:r>
          </w:p>
        </w:tc>
      </w:tr>
      <w:tr w:rsidR="009A4AA2" w:rsidRPr="009A4AA2" w:rsidTr="009A4AA2">
        <w:trPr>
          <w:trHeight w:val="410"/>
        </w:trPr>
        <w:tc>
          <w:tcPr>
            <w:tcW w:w="975" w:type="dxa"/>
            <w:vMerge w:val="restart"/>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149" w:type="dxa"/>
            <w:vMerge w:val="restart"/>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Mode of liaison of Faculty Coordinator with Director/CQA</w:t>
            </w:r>
          </w:p>
        </w:tc>
        <w:tc>
          <w:tcPr>
            <w:tcW w:w="1190" w:type="dxa"/>
            <w:vMerge w:val="restart"/>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977" w:type="dxa"/>
            <w:vMerge w:val="restart"/>
            <w:hideMark/>
          </w:tcPr>
          <w:p w:rsidR="009A4AA2" w:rsidRPr="009A4AA2" w:rsidRDefault="009A4AA2" w:rsidP="009A4AA2">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8054" w:type="dxa"/>
            <w:vMerge w:val="restart"/>
            <w:hideMark/>
          </w:tcPr>
          <w:p w:rsidR="009A4AA2" w:rsidRPr="009A4AA2" w:rsidRDefault="009A4AA2" w:rsidP="009A4AA2">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Items to be reported to the Director/CQA. Action Plan, Quarterly Progress Report, Annual Report, FQAC Meeting minutes via email.</w:t>
            </w:r>
          </w:p>
        </w:tc>
      </w:tr>
      <w:tr w:rsidR="009A4AA2" w:rsidRPr="009A4AA2" w:rsidTr="009A4AA2">
        <w:trPr>
          <w:trHeight w:val="410"/>
        </w:trPr>
        <w:tc>
          <w:tcPr>
            <w:tcW w:w="975" w:type="dxa"/>
            <w:vMerge/>
            <w:hideMark/>
          </w:tcPr>
          <w:p w:rsidR="009A4AA2" w:rsidRPr="009A4AA2" w:rsidRDefault="009A4AA2" w:rsidP="009A4AA2">
            <w:pPr>
              <w:rPr>
                <w:rFonts w:ascii="Times New Roman" w:eastAsia="Times New Roman" w:hAnsi="Times New Roman" w:cs="Times New Roman"/>
                <w:color w:val="000000"/>
              </w:rPr>
            </w:pPr>
          </w:p>
        </w:tc>
        <w:tc>
          <w:tcPr>
            <w:tcW w:w="2149" w:type="dxa"/>
            <w:vMerge/>
            <w:hideMark/>
          </w:tcPr>
          <w:p w:rsidR="009A4AA2" w:rsidRPr="009A4AA2" w:rsidRDefault="009A4AA2" w:rsidP="009A4AA2">
            <w:pPr>
              <w:rPr>
                <w:rFonts w:ascii="Times New Roman" w:eastAsia="Times New Roman" w:hAnsi="Times New Roman" w:cs="Times New Roman"/>
                <w:color w:val="000000"/>
              </w:rPr>
            </w:pPr>
          </w:p>
        </w:tc>
        <w:tc>
          <w:tcPr>
            <w:tcW w:w="1190" w:type="dxa"/>
            <w:vMerge/>
            <w:hideMark/>
          </w:tcPr>
          <w:p w:rsidR="009A4AA2" w:rsidRPr="009A4AA2" w:rsidRDefault="009A4AA2" w:rsidP="009A4AA2">
            <w:pPr>
              <w:rPr>
                <w:rFonts w:ascii="Times New Roman" w:eastAsia="Times New Roman" w:hAnsi="Times New Roman" w:cs="Times New Roman"/>
                <w:color w:val="000000"/>
              </w:rPr>
            </w:pPr>
          </w:p>
        </w:tc>
        <w:tc>
          <w:tcPr>
            <w:tcW w:w="977" w:type="dxa"/>
            <w:vMerge/>
            <w:hideMark/>
          </w:tcPr>
          <w:p w:rsidR="009A4AA2" w:rsidRPr="009A4AA2" w:rsidRDefault="009A4AA2" w:rsidP="009A4AA2">
            <w:pPr>
              <w:rPr>
                <w:rFonts w:ascii="Times New Roman" w:eastAsia="Times New Roman" w:hAnsi="Times New Roman" w:cs="Times New Roman"/>
                <w:color w:val="000000"/>
              </w:rPr>
            </w:pPr>
          </w:p>
        </w:tc>
        <w:tc>
          <w:tcPr>
            <w:tcW w:w="8054" w:type="dxa"/>
            <w:vMerge/>
            <w:hideMark/>
          </w:tcPr>
          <w:p w:rsidR="009A4AA2" w:rsidRPr="009A4AA2" w:rsidRDefault="009A4AA2" w:rsidP="009A4AA2">
            <w:pPr>
              <w:rPr>
                <w:rFonts w:ascii="Times New Roman" w:eastAsia="Times New Roman" w:hAnsi="Times New Roman" w:cs="Times New Roman"/>
                <w:color w:val="000000"/>
              </w:rPr>
            </w:pPr>
          </w:p>
        </w:tc>
      </w:tr>
      <w:tr w:rsidR="009A4AA2" w:rsidRPr="009A4AA2" w:rsidTr="009A4AA2">
        <w:trPr>
          <w:trHeight w:val="377"/>
        </w:trPr>
        <w:tc>
          <w:tcPr>
            <w:tcW w:w="975" w:type="dxa"/>
            <w:noWrap/>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149" w:type="dxa"/>
            <w:noWrap/>
            <w:hideMark/>
          </w:tcPr>
          <w:p w:rsidR="009A4AA2" w:rsidRPr="009A4AA2" w:rsidRDefault="009A4AA2" w:rsidP="009A4AA2">
            <w:pPr>
              <w:jc w:val="right"/>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Subtotal</w:t>
            </w:r>
          </w:p>
        </w:tc>
        <w:tc>
          <w:tcPr>
            <w:tcW w:w="1190" w:type="dxa"/>
            <w:noWrap/>
            <w:hideMark/>
          </w:tcPr>
          <w:p w:rsidR="009A4AA2" w:rsidRPr="009A4AA2" w:rsidRDefault="009A4AA2" w:rsidP="009A4AA2">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10</w:t>
            </w:r>
          </w:p>
        </w:tc>
        <w:tc>
          <w:tcPr>
            <w:tcW w:w="977" w:type="dxa"/>
            <w:noWrap/>
            <w:hideMark/>
          </w:tcPr>
          <w:p w:rsidR="009A4AA2" w:rsidRPr="009A4AA2" w:rsidRDefault="009A4AA2" w:rsidP="009A4AA2">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7</w:t>
            </w:r>
          </w:p>
        </w:tc>
        <w:tc>
          <w:tcPr>
            <w:tcW w:w="8054" w:type="dxa"/>
            <w:noWrap/>
            <w:hideMark/>
          </w:tcPr>
          <w:p w:rsidR="009A4AA2" w:rsidRPr="009A4AA2" w:rsidRDefault="009A4AA2" w:rsidP="009A4AA2">
            <w:pPr>
              <w:jc w:val="center"/>
              <w:rPr>
                <w:rFonts w:ascii="Times New Roman" w:eastAsia="Times New Roman" w:hAnsi="Times New Roman" w:cs="Times New Roman"/>
                <w:b/>
                <w:bCs/>
                <w:color w:val="000000"/>
              </w:rPr>
            </w:pPr>
          </w:p>
        </w:tc>
      </w:tr>
    </w:tbl>
    <w:p w:rsidR="000D26E4" w:rsidRDefault="00CD2577">
      <w:pPr>
        <w:rPr>
          <w:sz w:val="20"/>
        </w:rPr>
      </w:pPr>
    </w:p>
    <w:tbl>
      <w:tblPr>
        <w:tblpPr w:leftFromText="180" w:rightFromText="180" w:vertAnchor="text" w:horzAnchor="page" w:tblpX="1341" w:tblpY="326"/>
        <w:tblW w:w="13405" w:type="dxa"/>
        <w:tblLook w:val="04A0" w:firstRow="1" w:lastRow="0" w:firstColumn="1" w:lastColumn="0" w:noHBand="0" w:noVBand="1"/>
      </w:tblPr>
      <w:tblGrid>
        <w:gridCol w:w="990"/>
        <w:gridCol w:w="2416"/>
        <w:gridCol w:w="1170"/>
        <w:gridCol w:w="990"/>
        <w:gridCol w:w="7912"/>
      </w:tblGrid>
      <w:tr w:rsidR="009A4AA2" w:rsidRPr="009A4AA2" w:rsidTr="009A4AA2">
        <w:trPr>
          <w:trHeight w:val="450"/>
        </w:trPr>
        <w:tc>
          <w:tcPr>
            <w:tcW w:w="1340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4AA2" w:rsidRPr="009A4AA2" w:rsidRDefault="009A4AA2" w:rsidP="009A4AA2">
            <w:pPr>
              <w:spacing w:after="0" w:line="240" w:lineRule="auto"/>
              <w:jc w:val="center"/>
              <w:rPr>
                <w:rFonts w:ascii="Times New Roman" w:eastAsia="Times New Roman" w:hAnsi="Times New Roman" w:cs="Times New Roman"/>
                <w:b/>
                <w:bCs/>
                <w:color w:val="000000"/>
                <w:sz w:val="28"/>
                <w:szCs w:val="28"/>
              </w:rPr>
            </w:pPr>
            <w:r w:rsidRPr="009A4AA2">
              <w:rPr>
                <w:rFonts w:ascii="Times New Roman" w:eastAsia="Times New Roman" w:hAnsi="Times New Roman" w:cs="Times New Roman"/>
                <w:b/>
                <w:bCs/>
                <w:color w:val="000000"/>
                <w:sz w:val="28"/>
                <w:szCs w:val="28"/>
              </w:rPr>
              <w:t>Section 2: Institutionalization/Operationalization of FQAC (40%)</w:t>
            </w:r>
          </w:p>
        </w:tc>
      </w:tr>
      <w:tr w:rsidR="009A4AA2" w:rsidRPr="009A4AA2" w:rsidTr="009A4AA2">
        <w:trPr>
          <w:trHeight w:val="750"/>
        </w:trPr>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343"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Criteria</w:t>
            </w:r>
          </w:p>
        </w:tc>
        <w:tc>
          <w:tcPr>
            <w:tcW w:w="117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Allocated Score</w:t>
            </w:r>
          </w:p>
        </w:tc>
        <w:tc>
          <w:tcPr>
            <w:tcW w:w="99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Score Earned</w:t>
            </w:r>
          </w:p>
        </w:tc>
        <w:tc>
          <w:tcPr>
            <w:tcW w:w="7912"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ind w:right="331"/>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Description</w:t>
            </w:r>
          </w:p>
        </w:tc>
      </w:tr>
      <w:tr w:rsidR="009A4AA2" w:rsidRPr="009A4AA2" w:rsidTr="009A4AA2">
        <w:trPr>
          <w:trHeight w:val="31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343"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its By-laws</w:t>
            </w:r>
          </w:p>
        </w:tc>
        <w:tc>
          <w:tcPr>
            <w:tcW w:w="117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Developed and approved by the University Council. Revision is in progress</w:t>
            </w:r>
          </w:p>
        </w:tc>
      </w:tr>
      <w:tr w:rsidR="009A4AA2" w:rsidRPr="009A4AA2" w:rsidTr="009A4AA2">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343"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its Operational Guidelines</w:t>
            </w:r>
          </w:p>
        </w:tc>
        <w:tc>
          <w:tcPr>
            <w:tcW w:w="117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912"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FQAC has its operational guidelines according to the Internal Quality Enhancement System and Framework and customized for the University’s governance structure/Organogram and specific implementation arrangement.</w:t>
            </w:r>
          </w:p>
        </w:tc>
      </w:tr>
      <w:tr w:rsidR="009A4AA2" w:rsidRPr="009A4AA2" w:rsidTr="009A4AA2">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343"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Five-year strategic development plan for QA activities available</w:t>
            </w:r>
          </w:p>
        </w:tc>
        <w:tc>
          <w:tcPr>
            <w:tcW w:w="117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99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7912" w:type="dxa"/>
            <w:tcBorders>
              <w:top w:val="nil"/>
              <w:left w:val="nil"/>
              <w:bottom w:val="single" w:sz="4" w:space="0" w:color="000000"/>
              <w:right w:val="single" w:sz="4" w:space="0" w:color="000000"/>
            </w:tcBorders>
            <w:shd w:val="clear" w:color="FFFFFF" w:fill="FFFFFF"/>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The 5-year Strategic Plan of the FBS incorporating the activities of FQAC recommended by the </w:t>
            </w:r>
            <w:r w:rsidRPr="009A4AA2">
              <w:rPr>
                <w:rFonts w:ascii="Times New Roman" w:eastAsia="Times New Roman" w:hAnsi="Times New Roman" w:cs="Times New Roman"/>
                <w:color w:val="000000"/>
              </w:rPr>
              <w:t>Faculty</w:t>
            </w:r>
            <w:r w:rsidRPr="009A4AA2">
              <w:rPr>
                <w:rFonts w:ascii="Times New Roman" w:eastAsia="Times New Roman" w:hAnsi="Times New Roman" w:cs="Times New Roman"/>
                <w:color w:val="000000"/>
              </w:rPr>
              <w:t xml:space="preserve"> Board at its 222nd Meeting on 8th January 2025 and the Senate at its 38th Meeting held on 22d January 2025.</w:t>
            </w:r>
          </w:p>
        </w:tc>
      </w:tr>
      <w:tr w:rsidR="009A4AA2" w:rsidRPr="009A4AA2" w:rsidTr="009A4AA2">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2343"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annual work plan</w:t>
            </w:r>
          </w:p>
        </w:tc>
        <w:tc>
          <w:tcPr>
            <w:tcW w:w="117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912"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Recommendations given by the PR has been discussed at the FQAC and Faculty Board meetings and annual action plan 2025 of FQAC has been approved by the CQA and Senate.</w:t>
            </w:r>
          </w:p>
        </w:tc>
      </w:tr>
      <w:tr w:rsidR="009A4AA2" w:rsidRPr="009A4AA2" w:rsidTr="009A4AA2">
        <w:trPr>
          <w:trHeight w:val="31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343"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annual budget</w:t>
            </w:r>
          </w:p>
        </w:tc>
        <w:tc>
          <w:tcPr>
            <w:tcW w:w="117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Incorporated in to University’s recurrent budget under Dean's office budget of FBS.</w:t>
            </w:r>
          </w:p>
        </w:tc>
      </w:tr>
      <w:tr w:rsidR="009A4AA2" w:rsidRPr="009A4AA2" w:rsidTr="009A4AA2">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2343"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been established on University website and maintained</w:t>
            </w:r>
          </w:p>
        </w:tc>
        <w:tc>
          <w:tcPr>
            <w:tcW w:w="117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Regular updation on the FQAC website takes place by the Coordinator/Management Trainee Assistant.</w:t>
            </w:r>
          </w:p>
        </w:tc>
      </w:tr>
      <w:tr w:rsidR="009A4AA2" w:rsidRPr="009A4AA2" w:rsidTr="009A4AA2">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7</w:t>
            </w:r>
          </w:p>
        </w:tc>
        <w:tc>
          <w:tcPr>
            <w:tcW w:w="2343"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Permanent agenda item in Faculty Board meetings</w:t>
            </w:r>
          </w:p>
        </w:tc>
        <w:tc>
          <w:tcPr>
            <w:tcW w:w="117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99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a time slot for Coordinator to report at the Faculty Board at every regular FB meeting.</w:t>
            </w:r>
          </w:p>
        </w:tc>
      </w:tr>
      <w:tr w:rsidR="009A4AA2" w:rsidRPr="009A4AA2" w:rsidTr="009A4AA2">
        <w:trPr>
          <w:trHeight w:val="94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343"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Chairperson</w:t>
            </w:r>
            <w:r w:rsidRPr="009A4AA2">
              <w:rPr>
                <w:rFonts w:ascii="Times New Roman" w:eastAsia="Times New Roman" w:hAnsi="Times New Roman" w:cs="Times New Roman"/>
                <w:color w:val="000000"/>
              </w:rPr>
              <w:t>/Coordinator of FQAC presents the QA strategies to the entire Faculty members regularly</w:t>
            </w:r>
          </w:p>
        </w:tc>
        <w:tc>
          <w:tcPr>
            <w:tcW w:w="117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990"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SDC has also been taking an important role to enhance QA related activities.</w:t>
            </w:r>
          </w:p>
        </w:tc>
      </w:tr>
      <w:tr w:rsidR="009A4AA2" w:rsidRPr="009A4AA2" w:rsidTr="009A4AA2">
        <w:trPr>
          <w:trHeight w:val="94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9</w:t>
            </w:r>
          </w:p>
        </w:tc>
        <w:tc>
          <w:tcPr>
            <w:tcW w:w="2343" w:type="dxa"/>
            <w:tcBorders>
              <w:top w:val="nil"/>
              <w:left w:val="nil"/>
              <w:bottom w:val="nil"/>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Coordinator/FQAC is permitted to circulate notices of QA activities in the Faculty</w:t>
            </w:r>
          </w:p>
        </w:tc>
        <w:tc>
          <w:tcPr>
            <w:tcW w:w="1170" w:type="dxa"/>
            <w:tcBorders>
              <w:top w:val="nil"/>
              <w:left w:val="nil"/>
              <w:bottom w:val="nil"/>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nil"/>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nil"/>
              <w:right w:val="single" w:sz="4" w:space="0" w:color="000000"/>
            </w:tcBorders>
            <w:shd w:val="clear" w:color="auto" w:fill="auto"/>
            <w:vAlign w:val="center"/>
            <w:hideMark/>
          </w:tcPr>
          <w:p w:rsidR="009A4AA2" w:rsidRPr="009A4AA2" w:rsidRDefault="009A4AA2" w:rsidP="009A4AA2">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With the approval of the FQAC, notices of meetings, workshops, seminars etc. regarding quality assurance of other State and </w:t>
            </w:r>
            <w:r w:rsidRPr="009A4AA2">
              <w:rPr>
                <w:rFonts w:ascii="Times New Roman" w:eastAsia="Times New Roman" w:hAnsi="Times New Roman" w:cs="Times New Roman"/>
                <w:color w:val="000000"/>
              </w:rPr>
              <w:t>Non-State</w:t>
            </w:r>
            <w:r w:rsidRPr="009A4AA2">
              <w:rPr>
                <w:rFonts w:ascii="Times New Roman" w:eastAsia="Times New Roman" w:hAnsi="Times New Roman" w:cs="Times New Roman"/>
                <w:color w:val="000000"/>
              </w:rPr>
              <w:t xml:space="preserve"> Universities in order to be abreast of QA activities which enhance the educational experience of students - among staff members - academic, administrative, non- academic and support staff.</w:t>
            </w:r>
          </w:p>
        </w:tc>
      </w:tr>
      <w:tr w:rsidR="009A4AA2" w:rsidRPr="009A4AA2" w:rsidTr="009A4AA2">
        <w:trPr>
          <w:trHeight w:val="285"/>
        </w:trPr>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9A4AA2" w:rsidRPr="009A4AA2" w:rsidRDefault="009A4AA2" w:rsidP="009A4AA2">
            <w:pPr>
              <w:spacing w:after="0" w:line="240" w:lineRule="auto"/>
              <w:rPr>
                <w:rFonts w:ascii="Times New Roman" w:eastAsia="Times New Roman" w:hAnsi="Times New Roman" w:cs="Times New Roman"/>
                <w:color w:val="000000"/>
                <w:sz w:val="24"/>
                <w:szCs w:val="24"/>
              </w:rPr>
            </w:pPr>
            <w:r w:rsidRPr="009A4AA2">
              <w:rPr>
                <w:rFonts w:ascii="Times New Roman" w:eastAsia="Times New Roman" w:hAnsi="Times New Roman" w:cs="Times New Roman"/>
                <w:color w:val="000000"/>
                <w:sz w:val="24"/>
                <w:szCs w:val="24"/>
              </w:rPr>
              <w:t> </w:t>
            </w:r>
          </w:p>
        </w:tc>
        <w:tc>
          <w:tcPr>
            <w:tcW w:w="2343" w:type="dxa"/>
            <w:tcBorders>
              <w:top w:val="single" w:sz="4" w:space="0" w:color="000000"/>
              <w:left w:val="nil"/>
              <w:bottom w:val="single" w:sz="4" w:space="0" w:color="000000"/>
              <w:right w:val="single" w:sz="4" w:space="0" w:color="000000"/>
            </w:tcBorders>
            <w:shd w:val="clear" w:color="auto" w:fill="auto"/>
            <w:noWrap/>
            <w:vAlign w:val="center"/>
            <w:hideMark/>
          </w:tcPr>
          <w:p w:rsidR="009A4AA2" w:rsidRPr="009A4AA2" w:rsidRDefault="009A4AA2" w:rsidP="009A4AA2">
            <w:pPr>
              <w:spacing w:after="0" w:line="240" w:lineRule="auto"/>
              <w:jc w:val="right"/>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Subtotal</w:t>
            </w:r>
          </w:p>
        </w:tc>
        <w:tc>
          <w:tcPr>
            <w:tcW w:w="1170" w:type="dxa"/>
            <w:tcBorders>
              <w:top w:val="single" w:sz="4" w:space="0" w:color="000000"/>
              <w:left w:val="nil"/>
              <w:bottom w:val="single" w:sz="4" w:space="0" w:color="000000"/>
              <w:right w:val="single" w:sz="4" w:space="0" w:color="000000"/>
            </w:tcBorders>
            <w:shd w:val="clear" w:color="auto" w:fill="auto"/>
            <w:noWrap/>
            <w:vAlign w:val="center"/>
            <w:hideMark/>
          </w:tcPr>
          <w:p w:rsidR="009A4AA2" w:rsidRPr="009A4AA2" w:rsidRDefault="009A4AA2" w:rsidP="009A4AA2">
            <w:pPr>
              <w:spacing w:after="0" w:line="240" w:lineRule="auto"/>
              <w:jc w:val="center"/>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40</w:t>
            </w:r>
          </w:p>
        </w:tc>
        <w:tc>
          <w:tcPr>
            <w:tcW w:w="990" w:type="dxa"/>
            <w:tcBorders>
              <w:top w:val="single" w:sz="4" w:space="0" w:color="000000"/>
              <w:left w:val="nil"/>
              <w:bottom w:val="single" w:sz="4" w:space="0" w:color="000000"/>
              <w:right w:val="single" w:sz="4" w:space="0" w:color="000000"/>
            </w:tcBorders>
            <w:shd w:val="clear" w:color="auto" w:fill="auto"/>
            <w:noWrap/>
            <w:vAlign w:val="center"/>
            <w:hideMark/>
          </w:tcPr>
          <w:p w:rsidR="009A4AA2" w:rsidRPr="009A4AA2" w:rsidRDefault="009A4AA2" w:rsidP="009A4AA2">
            <w:pPr>
              <w:spacing w:after="0" w:line="240" w:lineRule="auto"/>
              <w:jc w:val="center"/>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32</w:t>
            </w:r>
          </w:p>
        </w:tc>
        <w:tc>
          <w:tcPr>
            <w:tcW w:w="7912" w:type="dxa"/>
            <w:tcBorders>
              <w:top w:val="single" w:sz="4" w:space="0" w:color="000000"/>
              <w:left w:val="nil"/>
              <w:bottom w:val="nil"/>
              <w:right w:val="nil"/>
            </w:tcBorders>
            <w:shd w:val="clear" w:color="auto" w:fill="auto"/>
            <w:noWrap/>
            <w:vAlign w:val="center"/>
            <w:hideMark/>
          </w:tcPr>
          <w:p w:rsidR="009A4AA2" w:rsidRPr="009A4AA2" w:rsidRDefault="009A4AA2" w:rsidP="009A4AA2">
            <w:pPr>
              <w:spacing w:after="0" w:line="240" w:lineRule="auto"/>
              <w:rPr>
                <w:rFonts w:ascii="Times New Roman" w:eastAsia="Times New Roman" w:hAnsi="Times New Roman" w:cs="Times New Roman"/>
                <w:color w:val="000000"/>
                <w:sz w:val="24"/>
                <w:szCs w:val="24"/>
              </w:rPr>
            </w:pPr>
            <w:r w:rsidRPr="009A4AA2">
              <w:rPr>
                <w:rFonts w:ascii="Times New Roman" w:eastAsia="Times New Roman" w:hAnsi="Times New Roman" w:cs="Times New Roman"/>
                <w:color w:val="000000"/>
                <w:sz w:val="24"/>
                <w:szCs w:val="24"/>
              </w:rPr>
              <w:t> </w:t>
            </w:r>
          </w:p>
        </w:tc>
      </w:tr>
    </w:tbl>
    <w:p w:rsidR="009A4AA2" w:rsidRDefault="009A4AA2">
      <w:pPr>
        <w:rPr>
          <w:sz w:val="20"/>
        </w:rPr>
      </w:pPr>
    </w:p>
    <w:tbl>
      <w:tblPr>
        <w:tblStyle w:val="TableGrid"/>
        <w:tblW w:w="13590" w:type="dxa"/>
        <w:tblLook w:val="04A0" w:firstRow="1" w:lastRow="0" w:firstColumn="1" w:lastColumn="0" w:noHBand="0" w:noVBand="1"/>
      </w:tblPr>
      <w:tblGrid>
        <w:gridCol w:w="1080"/>
        <w:gridCol w:w="2781"/>
        <w:gridCol w:w="1352"/>
        <w:gridCol w:w="913"/>
        <w:gridCol w:w="7464"/>
      </w:tblGrid>
      <w:tr w:rsidR="00CD2577" w:rsidRPr="009A4AA2" w:rsidTr="00CD2577">
        <w:trPr>
          <w:trHeight w:val="530"/>
        </w:trPr>
        <w:tc>
          <w:tcPr>
            <w:tcW w:w="13590" w:type="dxa"/>
            <w:gridSpan w:val="5"/>
            <w:noWrap/>
          </w:tcPr>
          <w:p w:rsidR="00CD2577" w:rsidRPr="009A4AA2" w:rsidRDefault="00CD2577" w:rsidP="009A4AA2">
            <w:pPr>
              <w:jc w:val="center"/>
              <w:rPr>
                <w:rFonts w:ascii="Times New Roman" w:eastAsia="Times New Roman" w:hAnsi="Times New Roman" w:cs="Times New Roman"/>
                <w:b/>
                <w:bCs/>
                <w:color w:val="000000"/>
              </w:rPr>
            </w:pPr>
            <w:r w:rsidRPr="00CD2577">
              <w:rPr>
                <w:rFonts w:ascii="Times New Roman" w:eastAsia="Times New Roman" w:hAnsi="Times New Roman" w:cs="Times New Roman"/>
                <w:b/>
                <w:bCs/>
                <w:color w:val="000000"/>
              </w:rPr>
              <w:t>S</w:t>
            </w:r>
            <w:r w:rsidRPr="00CD2577">
              <w:rPr>
                <w:rFonts w:ascii="Times New Roman" w:eastAsia="Times New Roman" w:hAnsi="Times New Roman" w:cs="Times New Roman"/>
                <w:b/>
                <w:bCs/>
                <w:color w:val="000000"/>
                <w:sz w:val="28"/>
              </w:rPr>
              <w:t>ection 3: Implementation of QA Mechanism at Faculty (including preparation of Self - Assessment) (50%)</w:t>
            </w:r>
          </w:p>
        </w:tc>
      </w:tr>
      <w:tr w:rsidR="00CD2577" w:rsidRPr="009A4AA2" w:rsidTr="00CD2577">
        <w:trPr>
          <w:trHeight w:val="750"/>
        </w:trPr>
        <w:tc>
          <w:tcPr>
            <w:tcW w:w="1080" w:type="dxa"/>
            <w:noWrap/>
            <w:hideMark/>
          </w:tcPr>
          <w:p w:rsidR="009A4AA2" w:rsidRPr="009A4AA2" w:rsidRDefault="009A4AA2" w:rsidP="009A4AA2">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781" w:type="dxa"/>
            <w:hideMark/>
          </w:tcPr>
          <w:p w:rsidR="009A4AA2" w:rsidRPr="009A4AA2" w:rsidRDefault="009A4AA2" w:rsidP="009A4AA2">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Criteria</w:t>
            </w:r>
          </w:p>
        </w:tc>
        <w:tc>
          <w:tcPr>
            <w:tcW w:w="1352" w:type="dxa"/>
            <w:hideMark/>
          </w:tcPr>
          <w:p w:rsidR="009A4AA2" w:rsidRPr="009A4AA2" w:rsidRDefault="009A4AA2" w:rsidP="009A4AA2">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Allocated Score</w:t>
            </w:r>
          </w:p>
        </w:tc>
        <w:tc>
          <w:tcPr>
            <w:tcW w:w="913" w:type="dxa"/>
            <w:hideMark/>
          </w:tcPr>
          <w:p w:rsidR="009A4AA2" w:rsidRPr="009A4AA2" w:rsidRDefault="009A4AA2" w:rsidP="009A4AA2">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Score Earned</w:t>
            </w:r>
          </w:p>
        </w:tc>
        <w:tc>
          <w:tcPr>
            <w:tcW w:w="7464" w:type="dxa"/>
            <w:hideMark/>
          </w:tcPr>
          <w:p w:rsidR="009A4AA2" w:rsidRPr="009A4AA2" w:rsidRDefault="009A4AA2" w:rsidP="009A4AA2">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Description</w:t>
            </w:r>
          </w:p>
        </w:tc>
      </w:tr>
      <w:tr w:rsidR="00CD2577" w:rsidRPr="009A4AA2" w:rsidTr="00CD2577">
        <w:trPr>
          <w:trHeight w:val="945"/>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initiates and supports preparation of SER for Institutional Reviews</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In last SER for IR, the FQAC has played a significant role in helping by evidence collection process. The faculty level evidences have been maintained in a repository by the FQAC. FQAC works </w:t>
            </w:r>
            <w:r w:rsidRPr="00CD2577">
              <w:rPr>
                <w:rFonts w:ascii="Times New Roman" w:eastAsia="Times New Roman" w:hAnsi="Times New Roman" w:cs="Times New Roman"/>
                <w:color w:val="000000"/>
              </w:rPr>
              <w:t>adherence</w:t>
            </w:r>
            <w:r w:rsidRPr="009A4AA2">
              <w:rPr>
                <w:rFonts w:ascii="Times New Roman" w:eastAsia="Times New Roman" w:hAnsi="Times New Roman" w:cs="Times New Roman"/>
                <w:color w:val="000000"/>
              </w:rPr>
              <w:t xml:space="preserve"> to the Manual of IR for Universities in Sri Lanka. In addition, in the next IR of University of Vavuniya, FQAC has an agenda items in the FQAC meetings to discuss about it and evidence collection process.</w:t>
            </w:r>
          </w:p>
        </w:tc>
      </w:tr>
      <w:tr w:rsidR="00CD2577" w:rsidRPr="009A4AA2" w:rsidTr="00CD2577">
        <w:trPr>
          <w:trHeight w:val="945"/>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assists CQA to prepare SERs for Program Reviews</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In last SER for PR, the FQAC has played a significant role in writing it by appointing a team in the faculty. The evidences have been maintained in a repository by the FQAC. FQAC works </w:t>
            </w:r>
            <w:r w:rsidRPr="00CD2577">
              <w:rPr>
                <w:rFonts w:ascii="Times New Roman" w:eastAsia="Times New Roman" w:hAnsi="Times New Roman" w:cs="Times New Roman"/>
                <w:color w:val="000000"/>
              </w:rPr>
              <w:t>adherence</w:t>
            </w:r>
            <w:r w:rsidRPr="009A4AA2">
              <w:rPr>
                <w:rFonts w:ascii="Times New Roman" w:eastAsia="Times New Roman" w:hAnsi="Times New Roman" w:cs="Times New Roman"/>
                <w:color w:val="000000"/>
              </w:rPr>
              <w:t xml:space="preserve"> to the PR Manual for Degree Programmes in State Universities in Sri Lanka. In addition, FQAC has initiated discussion for the next programme review in the FQAC meetings.</w:t>
            </w:r>
          </w:p>
        </w:tc>
      </w:tr>
      <w:tr w:rsidR="00CD2577" w:rsidRPr="009A4AA2" w:rsidTr="00CD2577">
        <w:trPr>
          <w:trHeight w:val="630"/>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provides necessary training and workshop</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provided necessary training and workshops for the Self-Assessment Report preparation teams as well as other interested academics on the establishment of QA mechanism in universities, carrying out Self-assessment, and preparation of Self-Assessment Reports during the last PR.</w:t>
            </w:r>
          </w:p>
        </w:tc>
      </w:tr>
      <w:tr w:rsidR="00CD2577" w:rsidRPr="009A4AA2" w:rsidTr="00CD2577">
        <w:trPr>
          <w:trHeight w:val="1260"/>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4</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motivates and supports Study programs to showcase best practices in QA.</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Identifying and sharing best QA practices among the study programmes, providing avenues to showcase the best practices. FQAC annually conducts staff and </w:t>
            </w:r>
            <w:r w:rsidR="00CD2577" w:rsidRPr="009A4AA2">
              <w:rPr>
                <w:rFonts w:ascii="Times New Roman" w:eastAsia="Times New Roman" w:hAnsi="Times New Roman" w:cs="Times New Roman"/>
                <w:color w:val="000000"/>
              </w:rPr>
              <w:t>student’s</w:t>
            </w:r>
            <w:r w:rsidRPr="009A4AA2">
              <w:rPr>
                <w:rFonts w:ascii="Times New Roman" w:eastAsia="Times New Roman" w:hAnsi="Times New Roman" w:cs="Times New Roman"/>
                <w:color w:val="000000"/>
              </w:rPr>
              <w:t xml:space="preserve"> satisfaction survey to obtain their views to improve the quality. In addition, feedback for orientation programme, exit graduate survey, teaching and course evaluation, etc. are conducted </w:t>
            </w:r>
            <w:r w:rsidRPr="00CD2577">
              <w:rPr>
                <w:rFonts w:ascii="Times New Roman" w:eastAsia="Times New Roman" w:hAnsi="Times New Roman" w:cs="Times New Roman"/>
                <w:color w:val="000000"/>
              </w:rPr>
              <w:t>regularly</w:t>
            </w:r>
            <w:r w:rsidRPr="009A4AA2">
              <w:rPr>
                <w:rFonts w:ascii="Times New Roman" w:eastAsia="Times New Roman" w:hAnsi="Times New Roman" w:cs="Times New Roman"/>
                <w:color w:val="000000"/>
              </w:rPr>
              <w:t xml:space="preserve"> and reported to FB for discussion and follow-up actions. QA related memos have been placed by the FQAC at the Faculty Board to implement the best practices by the departments.</w:t>
            </w:r>
          </w:p>
        </w:tc>
      </w:tr>
      <w:tr w:rsidR="00CD2577" w:rsidRPr="009A4AA2" w:rsidTr="00CD2577">
        <w:trPr>
          <w:trHeight w:val="945"/>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Liaise with other FQACs in the university and CQA on QA activities.</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Introduce such best practices and assist regarding adapting and adoption of such practices in QA where relevant</w:t>
            </w:r>
          </w:p>
        </w:tc>
      </w:tr>
      <w:tr w:rsidR="00CD2577" w:rsidRPr="009A4AA2" w:rsidTr="00CD2577">
        <w:trPr>
          <w:trHeight w:val="630"/>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reports at the quarterly progress on QA activities</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Quarterly progress report has been regularly submitted to CQA.</w:t>
            </w:r>
          </w:p>
        </w:tc>
      </w:tr>
      <w:tr w:rsidR="00CD2577" w:rsidRPr="009A4AA2" w:rsidTr="00CD2577">
        <w:trPr>
          <w:trHeight w:val="630"/>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7</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Submission of annual report of the FQAC to the QAC.</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annual report 2024 of FQAC/FBS was submitted to CQA.</w:t>
            </w:r>
          </w:p>
        </w:tc>
      </w:tr>
      <w:tr w:rsidR="00CD2577" w:rsidRPr="009A4AA2" w:rsidTr="00CD2577">
        <w:trPr>
          <w:trHeight w:val="630"/>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Administer/facilitate all meetings of the FQAC.</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Set up dates annually, invite members for meetings, keep minutes, take necessary action on proceedings. Collect and archive minutes of FQAC of FBS. After getting the approval, it will be sent to CQA.</w:t>
            </w:r>
          </w:p>
        </w:tc>
      </w:tr>
      <w:tr w:rsidR="00CD2577" w:rsidRPr="009A4AA2" w:rsidTr="00CD2577">
        <w:trPr>
          <w:trHeight w:val="945"/>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9</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Preparation of manuals or documents on QA aspects with the assistance of CQA.</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Questionnaires/surveys, student feedback on courses, teaching evaluations, feedback by staff and students on services, etc. are </w:t>
            </w:r>
            <w:r w:rsidR="00CD2577" w:rsidRPr="009A4AA2">
              <w:rPr>
                <w:rFonts w:ascii="Times New Roman" w:eastAsia="Times New Roman" w:hAnsi="Times New Roman" w:cs="Times New Roman"/>
                <w:color w:val="000000"/>
              </w:rPr>
              <w:t>available</w:t>
            </w:r>
            <w:bookmarkStart w:id="0" w:name="_GoBack"/>
            <w:bookmarkEnd w:id="0"/>
            <w:r w:rsidRPr="009A4AA2">
              <w:rPr>
                <w:rFonts w:ascii="Times New Roman" w:eastAsia="Times New Roman" w:hAnsi="Times New Roman" w:cs="Times New Roman"/>
                <w:color w:val="000000"/>
              </w:rPr>
              <w:t xml:space="preserve"> and in practice.</w:t>
            </w:r>
          </w:p>
        </w:tc>
      </w:tr>
      <w:tr w:rsidR="00CD2577" w:rsidRPr="009A4AA2" w:rsidTr="00CD2577">
        <w:trPr>
          <w:trHeight w:val="1890"/>
        </w:trPr>
        <w:tc>
          <w:tcPr>
            <w:tcW w:w="1080"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10</w:t>
            </w:r>
          </w:p>
        </w:tc>
        <w:tc>
          <w:tcPr>
            <w:tcW w:w="2781"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results of Institutional Review and Program Reviews, including student surveys, are made available to all staff and external stakeholders on the university web-site.</w:t>
            </w:r>
          </w:p>
        </w:tc>
        <w:tc>
          <w:tcPr>
            <w:tcW w:w="1352"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9A4AA2" w:rsidRPr="009A4AA2" w:rsidRDefault="009A4AA2" w:rsidP="00CD2577">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Information regarding meeting minutes, </w:t>
            </w:r>
            <w:r w:rsidR="00CD2577" w:rsidRPr="009A4AA2">
              <w:rPr>
                <w:rFonts w:ascii="Times New Roman" w:eastAsia="Times New Roman" w:hAnsi="Times New Roman" w:cs="Times New Roman"/>
                <w:color w:val="000000"/>
              </w:rPr>
              <w:t>circulars</w:t>
            </w:r>
            <w:r w:rsidRPr="009A4AA2">
              <w:rPr>
                <w:rFonts w:ascii="Times New Roman" w:eastAsia="Times New Roman" w:hAnsi="Times New Roman" w:cs="Times New Roman"/>
                <w:color w:val="000000"/>
              </w:rPr>
              <w:t>, quarterly progress reports, annual reports, IR and PR reports, QA activities, etc. is published in the FQAC website regularly.</w:t>
            </w:r>
          </w:p>
        </w:tc>
      </w:tr>
      <w:tr w:rsidR="00CD2577" w:rsidRPr="009A4AA2" w:rsidTr="00CD2577">
        <w:trPr>
          <w:trHeight w:val="285"/>
        </w:trPr>
        <w:tc>
          <w:tcPr>
            <w:tcW w:w="1080" w:type="dxa"/>
            <w:noWrap/>
            <w:hideMark/>
          </w:tcPr>
          <w:p w:rsidR="009A4AA2" w:rsidRPr="009A4AA2" w:rsidRDefault="009A4AA2" w:rsidP="00CD2577">
            <w:pPr>
              <w:jc w:val="both"/>
              <w:rPr>
                <w:rFonts w:ascii="Times New Roman" w:eastAsia="Times New Roman" w:hAnsi="Times New Roman" w:cs="Times New Roman"/>
                <w:color w:val="000000"/>
                <w:sz w:val="28"/>
                <w:szCs w:val="28"/>
              </w:rPr>
            </w:pPr>
            <w:r w:rsidRPr="009A4AA2">
              <w:rPr>
                <w:rFonts w:ascii="Times New Roman" w:eastAsia="Times New Roman" w:hAnsi="Times New Roman" w:cs="Times New Roman"/>
                <w:color w:val="000000"/>
                <w:sz w:val="28"/>
                <w:szCs w:val="28"/>
              </w:rPr>
              <w:t> </w:t>
            </w:r>
          </w:p>
        </w:tc>
        <w:tc>
          <w:tcPr>
            <w:tcW w:w="2781" w:type="dxa"/>
            <w:noWrap/>
            <w:hideMark/>
          </w:tcPr>
          <w:p w:rsidR="009A4AA2" w:rsidRPr="009A4AA2" w:rsidRDefault="009A4AA2" w:rsidP="00CD2577">
            <w:pPr>
              <w:jc w:val="both"/>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Subtotal</w:t>
            </w:r>
          </w:p>
        </w:tc>
        <w:tc>
          <w:tcPr>
            <w:tcW w:w="1352" w:type="dxa"/>
            <w:noWrap/>
            <w:hideMark/>
          </w:tcPr>
          <w:p w:rsidR="009A4AA2" w:rsidRPr="009A4AA2" w:rsidRDefault="009A4AA2" w:rsidP="00CD2577">
            <w:pPr>
              <w:jc w:val="both"/>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50</w:t>
            </w:r>
          </w:p>
        </w:tc>
        <w:tc>
          <w:tcPr>
            <w:tcW w:w="913" w:type="dxa"/>
            <w:noWrap/>
            <w:hideMark/>
          </w:tcPr>
          <w:p w:rsidR="009A4AA2" w:rsidRPr="009A4AA2" w:rsidRDefault="009A4AA2" w:rsidP="00CD2577">
            <w:pPr>
              <w:jc w:val="both"/>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40</w:t>
            </w:r>
          </w:p>
        </w:tc>
        <w:tc>
          <w:tcPr>
            <w:tcW w:w="7464" w:type="dxa"/>
            <w:noWrap/>
            <w:hideMark/>
          </w:tcPr>
          <w:p w:rsidR="009A4AA2" w:rsidRPr="009A4AA2" w:rsidRDefault="009A4AA2" w:rsidP="00CD2577">
            <w:pPr>
              <w:jc w:val="both"/>
              <w:rPr>
                <w:rFonts w:ascii="Times New Roman" w:eastAsia="Times New Roman" w:hAnsi="Times New Roman" w:cs="Times New Roman"/>
                <w:b/>
                <w:bCs/>
                <w:color w:val="000000"/>
                <w:sz w:val="24"/>
                <w:szCs w:val="24"/>
              </w:rPr>
            </w:pPr>
          </w:p>
        </w:tc>
      </w:tr>
    </w:tbl>
    <w:p w:rsidR="00CD2577" w:rsidRDefault="00CD2577" w:rsidP="00CD2577">
      <w:pPr>
        <w:spacing w:after="0" w:line="360" w:lineRule="auto"/>
        <w:ind w:right="-18"/>
        <w:jc w:val="both"/>
        <w:rPr>
          <w:rFonts w:ascii="Times New Roman" w:eastAsia="Times New Roman" w:hAnsi="Times New Roman" w:cs="Times New Roman"/>
          <w:sz w:val="24"/>
          <w:szCs w:val="24"/>
        </w:rPr>
      </w:pPr>
      <w:r w:rsidRPr="002B001B">
        <w:rPr>
          <w:noProof/>
        </w:rPr>
        <w:drawing>
          <wp:anchor distT="0" distB="0" distL="114300" distR="114300" simplePos="0" relativeHeight="251659264" behindDoc="0" locked="0" layoutInCell="1" allowOverlap="1" wp14:anchorId="2FF12336" wp14:editId="50E09101">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rsidR="00CD2577" w:rsidRPr="00426AD2" w:rsidRDefault="00CD2577" w:rsidP="00CD2577">
      <w:pPr>
        <w:spacing w:after="0" w:line="360" w:lineRule="auto"/>
        <w:jc w:val="both"/>
        <w:outlineLvl w:val="0"/>
        <w:rPr>
          <w:rFonts w:ascii="Times New Roman" w:eastAsia="Times New Roman" w:hAnsi="Times New Roman" w:cs="Times New Roman"/>
          <w:sz w:val="24"/>
          <w:szCs w:val="24"/>
        </w:rPr>
      </w:pPr>
      <w:r w:rsidRPr="00426AD2">
        <w:rPr>
          <w:rFonts w:ascii="Times New Roman" w:eastAsia="Times New Roman" w:hAnsi="Times New Roman" w:cs="Times New Roman"/>
          <w:sz w:val="24"/>
          <w:szCs w:val="24"/>
        </w:rPr>
        <w:t>Coordinator</w:t>
      </w:r>
      <w:r>
        <w:rPr>
          <w:rFonts w:ascii="Times New Roman" w:eastAsia="Times New Roman" w:hAnsi="Times New Roman" w:cs="Times New Roman"/>
          <w:sz w:val="24"/>
          <w:szCs w:val="24"/>
        </w:rPr>
        <w:t>/ FQAC</w:t>
      </w:r>
    </w:p>
    <w:sectPr w:rsidR="00CD2577" w:rsidRPr="00426AD2" w:rsidSect="009A4A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A2"/>
    <w:rsid w:val="001D2E43"/>
    <w:rsid w:val="002A17EF"/>
    <w:rsid w:val="009A4AA2"/>
    <w:rsid w:val="00A91B5F"/>
    <w:rsid w:val="00CD2577"/>
    <w:rsid w:val="00E5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4F89"/>
  <w15:chartTrackingRefBased/>
  <w15:docId w15:val="{2C8958D8-6953-40FC-A262-34BACA86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85736">
      <w:bodyDiv w:val="1"/>
      <w:marLeft w:val="0"/>
      <w:marRight w:val="0"/>
      <w:marTop w:val="0"/>
      <w:marBottom w:val="0"/>
      <w:divBdr>
        <w:top w:val="none" w:sz="0" w:space="0" w:color="auto"/>
        <w:left w:val="none" w:sz="0" w:space="0" w:color="auto"/>
        <w:bottom w:val="none" w:sz="0" w:space="0" w:color="auto"/>
        <w:right w:val="none" w:sz="0" w:space="0" w:color="auto"/>
      </w:divBdr>
    </w:div>
    <w:div w:id="206257692">
      <w:bodyDiv w:val="1"/>
      <w:marLeft w:val="0"/>
      <w:marRight w:val="0"/>
      <w:marTop w:val="0"/>
      <w:marBottom w:val="0"/>
      <w:divBdr>
        <w:top w:val="none" w:sz="0" w:space="0" w:color="auto"/>
        <w:left w:val="none" w:sz="0" w:space="0" w:color="auto"/>
        <w:bottom w:val="none" w:sz="0" w:space="0" w:color="auto"/>
        <w:right w:val="none" w:sz="0" w:space="0" w:color="auto"/>
      </w:divBdr>
    </w:div>
    <w:div w:id="513883177">
      <w:bodyDiv w:val="1"/>
      <w:marLeft w:val="0"/>
      <w:marRight w:val="0"/>
      <w:marTop w:val="0"/>
      <w:marBottom w:val="0"/>
      <w:divBdr>
        <w:top w:val="none" w:sz="0" w:space="0" w:color="auto"/>
        <w:left w:val="none" w:sz="0" w:space="0" w:color="auto"/>
        <w:bottom w:val="none" w:sz="0" w:space="0" w:color="auto"/>
        <w:right w:val="none" w:sz="0" w:space="0" w:color="auto"/>
      </w:divBdr>
    </w:div>
    <w:div w:id="6648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2025-05-05T07:03:00Z</dcterms:created>
  <dcterms:modified xsi:type="dcterms:W3CDTF">2025-05-05T07:18:00Z</dcterms:modified>
</cp:coreProperties>
</file>